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8CA4" w14:textId="6F43CFE9" w:rsidR="0088484F" w:rsidRDefault="002830E9" w:rsidP="00735B8B">
      <w:pPr>
        <w:rPr>
          <w:sz w:val="28"/>
          <w:szCs w:val="28"/>
        </w:rPr>
      </w:pPr>
      <w:r>
        <w:rPr>
          <w:sz w:val="28"/>
          <w:szCs w:val="28"/>
        </w:rPr>
        <w:t xml:space="preserve">This file is:    </w:t>
      </w:r>
      <w:r w:rsidR="0008641A" w:rsidRPr="0008641A">
        <w:rPr>
          <w:sz w:val="28"/>
          <w:szCs w:val="28"/>
        </w:rPr>
        <w:t>Noteson</w:t>
      </w:r>
      <w:r>
        <w:rPr>
          <w:sz w:val="28"/>
          <w:szCs w:val="28"/>
        </w:rPr>
        <w:t>_</w:t>
      </w:r>
      <w:r w:rsidR="00047BB9">
        <w:rPr>
          <w:sz w:val="28"/>
          <w:szCs w:val="28"/>
        </w:rPr>
        <w:t>SERCChronosequencestems</w:t>
      </w:r>
      <w:r w:rsidR="0008641A" w:rsidRPr="0008641A">
        <w:rPr>
          <w:sz w:val="28"/>
          <w:szCs w:val="28"/>
        </w:rPr>
        <w:t>20210</w:t>
      </w:r>
      <w:r w:rsidR="00047BB9">
        <w:rPr>
          <w:sz w:val="28"/>
          <w:szCs w:val="28"/>
        </w:rPr>
        <w:t>506</w:t>
      </w:r>
      <w:r w:rsidR="0008641A" w:rsidRPr="0008641A">
        <w:rPr>
          <w:sz w:val="28"/>
          <w:szCs w:val="28"/>
        </w:rPr>
        <w:t>.docx</w:t>
      </w:r>
    </w:p>
    <w:p w14:paraId="70B85448" w14:textId="7A0E0F83" w:rsidR="00735B8B" w:rsidRDefault="00871621" w:rsidP="00735B8B">
      <w:pPr>
        <w:rPr>
          <w:sz w:val="28"/>
          <w:szCs w:val="28"/>
        </w:rPr>
      </w:pPr>
      <w:r>
        <w:rPr>
          <w:sz w:val="28"/>
          <w:szCs w:val="28"/>
        </w:rPr>
        <w:t xml:space="preserve">Woody stems in </w:t>
      </w:r>
      <w:r w:rsidR="0008641A" w:rsidRPr="0008641A">
        <w:rPr>
          <w:sz w:val="28"/>
          <w:szCs w:val="28"/>
        </w:rPr>
        <w:t>the Smithsonian Environmental Research Center (SERC)</w:t>
      </w:r>
      <w:r w:rsidR="00086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chronosequence plots </w:t>
      </w:r>
      <w:r w:rsidR="0008641A">
        <w:rPr>
          <w:sz w:val="28"/>
          <w:szCs w:val="28"/>
        </w:rPr>
        <w:t>given in datafile</w:t>
      </w:r>
      <w:r w:rsidR="00735B8B">
        <w:rPr>
          <w:sz w:val="28"/>
          <w:szCs w:val="28"/>
        </w:rPr>
        <w:t xml:space="preserve"> </w:t>
      </w:r>
      <w:r w:rsidR="00A01920" w:rsidRPr="0088484F">
        <w:rPr>
          <w:b/>
          <w:bCs/>
          <w:sz w:val="28"/>
          <w:szCs w:val="28"/>
        </w:rPr>
        <w:t>SERC</w:t>
      </w:r>
      <w:r w:rsidRPr="0088484F">
        <w:rPr>
          <w:b/>
          <w:bCs/>
          <w:sz w:val="28"/>
          <w:szCs w:val="28"/>
        </w:rPr>
        <w:t>chronostems1989-2020_20210506</w:t>
      </w:r>
      <w:r w:rsidR="00AA0723" w:rsidRPr="0088484F">
        <w:rPr>
          <w:b/>
          <w:bCs/>
          <w:sz w:val="28"/>
          <w:szCs w:val="28"/>
        </w:rPr>
        <w:t>.csv</w:t>
      </w:r>
    </w:p>
    <w:p w14:paraId="03248405" w14:textId="77777777" w:rsidR="0008641A" w:rsidRDefault="0008641A">
      <w:pPr>
        <w:rPr>
          <w:sz w:val="28"/>
          <w:szCs w:val="28"/>
        </w:rPr>
      </w:pPr>
    </w:p>
    <w:p w14:paraId="79BFC340" w14:textId="44C9654A" w:rsidR="0008641A" w:rsidRPr="00735B8B" w:rsidRDefault="0008641A">
      <w:pPr>
        <w:rPr>
          <w:sz w:val="28"/>
          <w:szCs w:val="28"/>
          <w:u w:val="single"/>
        </w:rPr>
      </w:pPr>
      <w:r w:rsidRPr="00735B8B">
        <w:rPr>
          <w:sz w:val="28"/>
          <w:szCs w:val="28"/>
          <w:u w:val="single"/>
        </w:rPr>
        <w:t>Background on the sampl</w:t>
      </w:r>
      <w:r w:rsidR="00CE2DA0">
        <w:rPr>
          <w:sz w:val="28"/>
          <w:szCs w:val="28"/>
          <w:u w:val="single"/>
        </w:rPr>
        <w:t>ing</w:t>
      </w:r>
    </w:p>
    <w:p w14:paraId="6C751BCB" w14:textId="5D357AA3" w:rsidR="00CE2DA0" w:rsidRDefault="00AA0723" w:rsidP="00CE2DA0">
      <w:pPr>
        <w:rPr>
          <w:sz w:val="28"/>
          <w:szCs w:val="28"/>
        </w:rPr>
      </w:pPr>
      <w:r>
        <w:rPr>
          <w:sz w:val="28"/>
          <w:szCs w:val="28"/>
        </w:rPr>
        <w:t xml:space="preserve">Stems </w:t>
      </w:r>
      <w:r w:rsidR="0076468C">
        <w:rPr>
          <w:sz w:val="28"/>
          <w:szCs w:val="28"/>
        </w:rPr>
        <w:t xml:space="preserve">were </w:t>
      </w:r>
      <w:r>
        <w:rPr>
          <w:sz w:val="28"/>
          <w:szCs w:val="28"/>
        </w:rPr>
        <w:t>measured</w:t>
      </w:r>
      <w:r w:rsidR="0008641A">
        <w:rPr>
          <w:sz w:val="28"/>
          <w:szCs w:val="28"/>
        </w:rPr>
        <w:t xml:space="preserve"> over several years in</w:t>
      </w:r>
      <w:r w:rsidR="00CE2DA0">
        <w:rPr>
          <w:sz w:val="28"/>
          <w:szCs w:val="28"/>
        </w:rPr>
        <w:t xml:space="preserve"> </w:t>
      </w:r>
      <w:r w:rsidR="0008641A">
        <w:rPr>
          <w:sz w:val="28"/>
          <w:szCs w:val="28"/>
        </w:rPr>
        <w:t>plots of the SERC chronosequence of tulip poplar forests</w:t>
      </w:r>
      <w:r w:rsidR="00CE2DA0">
        <w:rPr>
          <w:sz w:val="28"/>
          <w:szCs w:val="28"/>
        </w:rPr>
        <w:t xml:space="preserve"> in the vicinity of the </w:t>
      </w:r>
      <w:r w:rsidR="00CE2DA0" w:rsidRPr="0008641A">
        <w:rPr>
          <w:sz w:val="28"/>
          <w:szCs w:val="28"/>
        </w:rPr>
        <w:t>Smithsonian Environmental Research Center (SERC)</w:t>
      </w:r>
      <w:r w:rsidR="00CE2DA0">
        <w:rPr>
          <w:sz w:val="28"/>
          <w:szCs w:val="28"/>
        </w:rPr>
        <w:t xml:space="preserve"> from 198</w:t>
      </w:r>
      <w:r w:rsidR="00A01920">
        <w:rPr>
          <w:sz w:val="28"/>
          <w:szCs w:val="28"/>
        </w:rPr>
        <w:t>9</w:t>
      </w:r>
      <w:r w:rsidR="00CE2DA0">
        <w:rPr>
          <w:sz w:val="28"/>
          <w:szCs w:val="28"/>
        </w:rPr>
        <w:t xml:space="preserve"> through 2020</w:t>
      </w:r>
      <w:r>
        <w:rPr>
          <w:sz w:val="28"/>
          <w:szCs w:val="28"/>
        </w:rPr>
        <w:t xml:space="preserve">.  </w:t>
      </w:r>
      <w:r w:rsidR="00CE2DA0">
        <w:rPr>
          <w:sz w:val="28"/>
          <w:szCs w:val="28"/>
        </w:rPr>
        <w:t xml:space="preserve">All standing woody stems </w:t>
      </w:r>
      <w:r w:rsidR="0076468C">
        <w:rPr>
          <w:sz w:val="28"/>
          <w:szCs w:val="28"/>
        </w:rPr>
        <w:t xml:space="preserve">in a plot </w:t>
      </w:r>
      <w:r w:rsidR="00CE2DA0">
        <w:rPr>
          <w:sz w:val="28"/>
          <w:szCs w:val="28"/>
        </w:rPr>
        <w:t xml:space="preserve">(tree, </w:t>
      </w:r>
      <w:proofErr w:type="gramStart"/>
      <w:r w:rsidR="00CE2DA0">
        <w:rPr>
          <w:sz w:val="28"/>
          <w:szCs w:val="28"/>
        </w:rPr>
        <w:t>shrub</w:t>
      </w:r>
      <w:proofErr w:type="gramEnd"/>
      <w:r w:rsidR="00CE2DA0">
        <w:rPr>
          <w:sz w:val="28"/>
          <w:szCs w:val="28"/>
        </w:rPr>
        <w:t xml:space="preserve"> or vine) having a DBH of at least 2.0 cm were measured, whether alive or dead</w:t>
      </w:r>
      <w:r>
        <w:rPr>
          <w:sz w:val="28"/>
          <w:szCs w:val="28"/>
        </w:rPr>
        <w:t xml:space="preserve">.  Plots were censused after termination of </w:t>
      </w:r>
      <w:r w:rsidR="00CE2DA0">
        <w:rPr>
          <w:sz w:val="28"/>
          <w:szCs w:val="28"/>
        </w:rPr>
        <w:t xml:space="preserve">annual diameter </w:t>
      </w:r>
      <w:r>
        <w:rPr>
          <w:sz w:val="28"/>
          <w:szCs w:val="28"/>
        </w:rPr>
        <w:t xml:space="preserve">growth – the year of the plot census (cenyr) includes the growth through that year.  </w:t>
      </w:r>
      <w:r w:rsidR="00CE2DA0">
        <w:rPr>
          <w:sz w:val="28"/>
          <w:szCs w:val="28"/>
        </w:rPr>
        <w:t xml:space="preserve">Brown and Parker (1994) and McMahon et al. 2010 describe the chronosequence project and provide details on how time since initiation (and ages) were estimated for the stands. </w:t>
      </w:r>
      <w:r w:rsidR="00083280">
        <w:rPr>
          <w:sz w:val="28"/>
          <w:szCs w:val="28"/>
        </w:rPr>
        <w:t xml:space="preserve"> </w:t>
      </w:r>
      <w:r w:rsidR="00083280" w:rsidRPr="00083280">
        <w:rPr>
          <w:sz w:val="28"/>
          <w:szCs w:val="28"/>
        </w:rPr>
        <w:t>We estimated the st</w:t>
      </w:r>
      <w:r w:rsidR="00083280">
        <w:rPr>
          <w:sz w:val="28"/>
          <w:szCs w:val="28"/>
        </w:rPr>
        <w:t xml:space="preserve">em </w:t>
      </w:r>
      <w:r w:rsidR="00083280" w:rsidRPr="00083280">
        <w:rPr>
          <w:sz w:val="28"/>
          <w:szCs w:val="28"/>
        </w:rPr>
        <w:t xml:space="preserve">biomass using species-specific allometric equations from the database of Jenkins et al. (2004).  </w:t>
      </w:r>
    </w:p>
    <w:p w14:paraId="0B77EB17" w14:textId="77777777" w:rsidR="00871621" w:rsidRDefault="00871621">
      <w:pPr>
        <w:rPr>
          <w:sz w:val="28"/>
          <w:szCs w:val="28"/>
          <w:u w:val="single"/>
        </w:rPr>
      </w:pPr>
      <w:bookmarkStart w:id="0" w:name="_Hlk70341909"/>
    </w:p>
    <w:p w14:paraId="48FE4DC7" w14:textId="23685C4F" w:rsidR="0008641A" w:rsidRPr="0088484F" w:rsidRDefault="0008641A">
      <w:pPr>
        <w:rPr>
          <w:sz w:val="28"/>
          <w:szCs w:val="28"/>
          <w:u w:val="single"/>
        </w:rPr>
      </w:pPr>
      <w:r w:rsidRPr="0088484F">
        <w:rPr>
          <w:sz w:val="28"/>
          <w:szCs w:val="28"/>
          <w:u w:val="single"/>
        </w:rPr>
        <w:t>Meaning of the columns</w:t>
      </w:r>
      <w:r w:rsidR="0088484F" w:rsidRPr="0088484F">
        <w:rPr>
          <w:sz w:val="28"/>
          <w:szCs w:val="28"/>
          <w:u w:val="single"/>
        </w:rPr>
        <w:t xml:space="preserve"> in </w:t>
      </w:r>
      <w:proofErr w:type="gramStart"/>
      <w:r w:rsidR="0088484F" w:rsidRPr="0088484F">
        <w:rPr>
          <w:sz w:val="28"/>
          <w:szCs w:val="28"/>
          <w:u w:val="single"/>
        </w:rPr>
        <w:t>file</w:t>
      </w:r>
      <w:r w:rsidR="0088484F" w:rsidRPr="0088484F">
        <w:rPr>
          <w:b/>
          <w:bCs/>
          <w:sz w:val="28"/>
          <w:szCs w:val="28"/>
          <w:u w:val="single"/>
        </w:rPr>
        <w:t xml:space="preserve"> </w:t>
      </w:r>
      <w:r w:rsidR="0088484F">
        <w:rPr>
          <w:b/>
          <w:bCs/>
          <w:sz w:val="28"/>
          <w:szCs w:val="28"/>
          <w:u w:val="single"/>
        </w:rPr>
        <w:t xml:space="preserve"> </w:t>
      </w:r>
      <w:r w:rsidR="0088484F" w:rsidRPr="0088484F">
        <w:rPr>
          <w:b/>
          <w:bCs/>
          <w:sz w:val="28"/>
          <w:szCs w:val="28"/>
          <w:u w:val="single"/>
        </w:rPr>
        <w:t>SERCchronostems1989-2020_20210506.csv</w:t>
      </w:r>
      <w:proofErr w:type="gramEnd"/>
    </w:p>
    <w:p w14:paraId="354E241E" w14:textId="4F595746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71621">
        <w:rPr>
          <w:sz w:val="28"/>
          <w:szCs w:val="28"/>
        </w:rPr>
        <w:t>lotid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 w:rsidR="00871621">
        <w:rPr>
          <w:sz w:val="28"/>
          <w:szCs w:val="28"/>
        </w:rPr>
        <w:t>standard 6</w:t>
      </w:r>
      <w:r>
        <w:rPr>
          <w:sz w:val="28"/>
          <w:szCs w:val="28"/>
        </w:rPr>
        <w:t>-</w:t>
      </w:r>
      <w:r w:rsidR="00871621">
        <w:rPr>
          <w:sz w:val="28"/>
          <w:szCs w:val="28"/>
        </w:rPr>
        <w:t>character code</w:t>
      </w:r>
    </w:p>
    <w:p w14:paraId="57D9C17B" w14:textId="1034EBC2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71621">
        <w:rPr>
          <w:sz w:val="28"/>
          <w:szCs w:val="28"/>
        </w:rPr>
        <w:t>enyr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 w:rsidR="00871621">
        <w:rPr>
          <w:sz w:val="28"/>
          <w:szCs w:val="28"/>
        </w:rPr>
        <w:t>year of census,</w:t>
      </w:r>
      <w:r w:rsidR="00AA0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includes </w:t>
      </w:r>
      <w:r w:rsidR="00871621">
        <w:rPr>
          <w:sz w:val="28"/>
          <w:szCs w:val="28"/>
        </w:rPr>
        <w:t>growth through this year</w:t>
      </w:r>
    </w:p>
    <w:p w14:paraId="63797393" w14:textId="1A7989C9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71621">
        <w:rPr>
          <w:sz w:val="28"/>
          <w:szCs w:val="28"/>
        </w:rPr>
        <w:t>ge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 w:rsidR="00871621">
        <w:rPr>
          <w:sz w:val="28"/>
          <w:szCs w:val="28"/>
        </w:rPr>
        <w:t>years since stand initiation</w:t>
      </w:r>
    </w:p>
    <w:p w14:paraId="05D2F824" w14:textId="2A50650F" w:rsidR="0008641A" w:rsidRDefault="002830E9" w:rsidP="0088484F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s</w:t>
      </w:r>
      <w:r w:rsidR="00871621">
        <w:rPr>
          <w:sz w:val="28"/>
          <w:szCs w:val="28"/>
        </w:rPr>
        <w:t xml:space="preserve">pecies   </w:t>
      </w:r>
      <w:r w:rsidR="00AA0723">
        <w:rPr>
          <w:sz w:val="28"/>
          <w:szCs w:val="28"/>
        </w:rPr>
        <w:tab/>
      </w:r>
      <w:r w:rsidR="00D94FE8">
        <w:rPr>
          <w:sz w:val="28"/>
          <w:szCs w:val="28"/>
        </w:rPr>
        <w:t>SERC numerical code</w:t>
      </w:r>
      <w:r>
        <w:rPr>
          <w:sz w:val="28"/>
          <w:szCs w:val="28"/>
        </w:rPr>
        <w:t xml:space="preserve"> (see file </w:t>
      </w:r>
      <w:r w:rsidRPr="0088484F">
        <w:rPr>
          <w:b/>
          <w:bCs/>
          <w:sz w:val="28"/>
          <w:szCs w:val="28"/>
        </w:rPr>
        <w:t>SERCChronstems_specieslist.xlsx</w:t>
      </w:r>
      <w:r>
        <w:rPr>
          <w:sz w:val="28"/>
          <w:szCs w:val="28"/>
        </w:rPr>
        <w:t xml:space="preserve"> for the equivalent full species name)   </w:t>
      </w:r>
    </w:p>
    <w:p w14:paraId="7B6A79B0" w14:textId="7367A85C" w:rsidR="00871621" w:rsidRDefault="002830E9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871621">
        <w:rPr>
          <w:sz w:val="28"/>
          <w:szCs w:val="28"/>
        </w:rPr>
        <w:t xml:space="preserve">ondc    </w:t>
      </w:r>
      <w:r w:rsidR="00AA0723">
        <w:rPr>
          <w:sz w:val="28"/>
          <w:szCs w:val="28"/>
        </w:rPr>
        <w:tab/>
      </w:r>
      <w:r w:rsidR="00871621">
        <w:rPr>
          <w:sz w:val="28"/>
          <w:szCs w:val="28"/>
        </w:rPr>
        <w:t>character code for stem condition (LI = living; SD = standing dead)</w:t>
      </w:r>
    </w:p>
    <w:p w14:paraId="322DBE78" w14:textId="4B6E65A8" w:rsidR="00871621" w:rsidRDefault="00AA0723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871621">
        <w:rPr>
          <w:sz w:val="28"/>
          <w:szCs w:val="28"/>
        </w:rPr>
        <w:t xml:space="preserve">bh        </w:t>
      </w:r>
      <w:r>
        <w:rPr>
          <w:sz w:val="28"/>
          <w:szCs w:val="28"/>
        </w:rPr>
        <w:tab/>
        <w:t xml:space="preserve">diameter at breast height, </w:t>
      </w:r>
      <w:r w:rsidR="00871621">
        <w:rPr>
          <w:sz w:val="28"/>
          <w:szCs w:val="28"/>
        </w:rPr>
        <w:t>cm</w:t>
      </w:r>
    </w:p>
    <w:p w14:paraId="676C758D" w14:textId="166A9412" w:rsidR="00871621" w:rsidRDefault="00871621">
      <w:pPr>
        <w:rPr>
          <w:sz w:val="28"/>
          <w:szCs w:val="28"/>
        </w:rPr>
      </w:pPr>
      <w:r>
        <w:rPr>
          <w:sz w:val="28"/>
          <w:szCs w:val="28"/>
        </w:rPr>
        <w:t>ba</w:t>
      </w:r>
      <w:r w:rsidR="002830E9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>
        <w:rPr>
          <w:sz w:val="28"/>
          <w:szCs w:val="28"/>
        </w:rPr>
        <w:t xml:space="preserve">basal area </w:t>
      </w:r>
      <w:r w:rsidR="00083280">
        <w:rPr>
          <w:sz w:val="28"/>
          <w:szCs w:val="28"/>
        </w:rPr>
        <w:t xml:space="preserve">per tree, </w:t>
      </w:r>
      <w:r>
        <w:rPr>
          <w:sz w:val="28"/>
          <w:szCs w:val="28"/>
        </w:rPr>
        <w:t>in m</w:t>
      </w:r>
      <w:r w:rsidRPr="00AA0723">
        <w:rPr>
          <w:sz w:val="28"/>
          <w:szCs w:val="28"/>
          <w:vertAlign w:val="superscript"/>
        </w:rPr>
        <w:t>-2</w:t>
      </w:r>
    </w:p>
    <w:p w14:paraId="5A4D9B6B" w14:textId="4B635570" w:rsidR="00871621" w:rsidRDefault="00871621">
      <w:pPr>
        <w:rPr>
          <w:sz w:val="28"/>
          <w:szCs w:val="28"/>
        </w:rPr>
      </w:pPr>
      <w:r>
        <w:rPr>
          <w:sz w:val="28"/>
          <w:szCs w:val="28"/>
        </w:rPr>
        <w:t>biomass</w:t>
      </w:r>
      <w:r w:rsidR="00AA0723">
        <w:rPr>
          <w:sz w:val="28"/>
          <w:szCs w:val="28"/>
        </w:rPr>
        <w:tab/>
      </w:r>
      <w:r>
        <w:rPr>
          <w:sz w:val="28"/>
          <w:szCs w:val="28"/>
        </w:rPr>
        <w:t>kg</w:t>
      </w:r>
      <w:r w:rsidR="00AA0723">
        <w:rPr>
          <w:sz w:val="28"/>
          <w:szCs w:val="28"/>
        </w:rPr>
        <w:t xml:space="preserve"> per tree</w:t>
      </w:r>
    </w:p>
    <w:p w14:paraId="76953048" w14:textId="030239C0" w:rsidR="00871621" w:rsidRDefault="00871621">
      <w:pPr>
        <w:rPr>
          <w:sz w:val="28"/>
          <w:szCs w:val="28"/>
        </w:rPr>
      </w:pPr>
      <w:r>
        <w:rPr>
          <w:sz w:val="28"/>
          <w:szCs w:val="28"/>
        </w:rPr>
        <w:t>area</w:t>
      </w:r>
      <w:r w:rsidR="00AA0723">
        <w:rPr>
          <w:sz w:val="28"/>
          <w:szCs w:val="28"/>
        </w:rPr>
        <w:tab/>
      </w:r>
      <w:r w:rsidR="00AA0723">
        <w:rPr>
          <w:sz w:val="28"/>
          <w:szCs w:val="28"/>
        </w:rPr>
        <w:tab/>
      </w:r>
      <w:r>
        <w:rPr>
          <w:sz w:val="28"/>
          <w:szCs w:val="28"/>
        </w:rPr>
        <w:t>plot area in ha</w:t>
      </w:r>
    </w:p>
    <w:bookmarkEnd w:id="0"/>
    <w:p w14:paraId="0A5DB784" w14:textId="77777777" w:rsidR="0088484F" w:rsidRDefault="0088484F" w:rsidP="0088484F">
      <w:pPr>
        <w:rPr>
          <w:sz w:val="28"/>
          <w:szCs w:val="28"/>
        </w:rPr>
      </w:pPr>
    </w:p>
    <w:p w14:paraId="485608F0" w14:textId="77777777" w:rsidR="0088484F" w:rsidRPr="0088484F" w:rsidRDefault="0088484F" w:rsidP="0088484F">
      <w:pPr>
        <w:rPr>
          <w:b/>
          <w:bCs/>
          <w:sz w:val="28"/>
          <w:szCs w:val="28"/>
        </w:rPr>
      </w:pPr>
      <w:r w:rsidRPr="0088484F">
        <w:rPr>
          <w:b/>
          <w:bCs/>
          <w:sz w:val="28"/>
          <w:szCs w:val="28"/>
        </w:rPr>
        <w:t xml:space="preserve">SERCChronstems_specieslist.xlsx   </w:t>
      </w:r>
    </w:p>
    <w:p w14:paraId="27A1ABB1" w14:textId="73347911" w:rsidR="0088484F" w:rsidRDefault="0088484F" w:rsidP="0088484F">
      <w:pPr>
        <w:rPr>
          <w:sz w:val="28"/>
          <w:szCs w:val="28"/>
        </w:rPr>
      </w:pPr>
      <w:r>
        <w:rPr>
          <w:sz w:val="28"/>
          <w:szCs w:val="28"/>
        </w:rPr>
        <w:t xml:space="preserve">Gives the SERC numerical species code (first column) and the corresponding common binomial name (second column).  Note the binomial names may not reflect the most current taxonomic revision.  </w:t>
      </w:r>
    </w:p>
    <w:p w14:paraId="765EB4F0" w14:textId="77777777" w:rsidR="0088484F" w:rsidRDefault="0088484F">
      <w:pPr>
        <w:rPr>
          <w:sz w:val="28"/>
          <w:szCs w:val="28"/>
        </w:rPr>
      </w:pPr>
    </w:p>
    <w:p w14:paraId="4E4384DF" w14:textId="3427C4B3" w:rsidR="00B326D8" w:rsidRPr="00735B8B" w:rsidRDefault="00B326D8">
      <w:pPr>
        <w:rPr>
          <w:sz w:val="28"/>
          <w:szCs w:val="28"/>
          <w:u w:val="single"/>
        </w:rPr>
      </w:pPr>
      <w:r w:rsidRPr="00735B8B">
        <w:rPr>
          <w:sz w:val="28"/>
          <w:szCs w:val="28"/>
          <w:u w:val="single"/>
        </w:rPr>
        <w:t>Some references</w:t>
      </w:r>
    </w:p>
    <w:p w14:paraId="2AAFA68C" w14:textId="1D78B091" w:rsidR="00D71524" w:rsidRDefault="00D71524">
      <w:pPr>
        <w:rPr>
          <w:sz w:val="28"/>
          <w:szCs w:val="28"/>
        </w:rPr>
      </w:pPr>
      <w:r>
        <w:rPr>
          <w:sz w:val="28"/>
          <w:szCs w:val="28"/>
        </w:rPr>
        <w:t>Brown MJ, Parker GG. 2004.  Canopy light transmittance in a chronosequence of mixed-species forests.  Can</w:t>
      </w:r>
      <w:r w:rsidR="0088484F">
        <w:rPr>
          <w:sz w:val="28"/>
          <w:szCs w:val="28"/>
        </w:rPr>
        <w:t>adian</w:t>
      </w:r>
      <w:r>
        <w:rPr>
          <w:sz w:val="28"/>
          <w:szCs w:val="28"/>
        </w:rPr>
        <w:t xml:space="preserve"> J</w:t>
      </w:r>
      <w:r w:rsidR="0088484F">
        <w:rPr>
          <w:sz w:val="28"/>
          <w:szCs w:val="28"/>
        </w:rPr>
        <w:t>ournal of</w:t>
      </w:r>
      <w:r>
        <w:rPr>
          <w:sz w:val="28"/>
          <w:szCs w:val="28"/>
        </w:rPr>
        <w:t xml:space="preserve"> For</w:t>
      </w:r>
      <w:r w:rsidR="0088484F">
        <w:rPr>
          <w:sz w:val="28"/>
          <w:szCs w:val="28"/>
        </w:rPr>
        <w:t>est</w:t>
      </w:r>
      <w:r>
        <w:rPr>
          <w:sz w:val="28"/>
          <w:szCs w:val="28"/>
        </w:rPr>
        <w:t xml:space="preserve"> Res</w:t>
      </w:r>
      <w:r w:rsidR="0088484F">
        <w:rPr>
          <w:sz w:val="28"/>
          <w:szCs w:val="28"/>
        </w:rPr>
        <w:t>earch</w:t>
      </w:r>
      <w:r>
        <w:rPr>
          <w:sz w:val="28"/>
          <w:szCs w:val="28"/>
        </w:rPr>
        <w:t xml:space="preserve"> 24:1694-1703</w:t>
      </w:r>
    </w:p>
    <w:p w14:paraId="6FF55B5C" w14:textId="2AA89E91" w:rsidR="00083280" w:rsidRDefault="00083280">
      <w:pPr>
        <w:rPr>
          <w:sz w:val="28"/>
          <w:szCs w:val="28"/>
        </w:rPr>
      </w:pPr>
      <w:r w:rsidRPr="00083280">
        <w:rPr>
          <w:sz w:val="28"/>
          <w:szCs w:val="28"/>
        </w:rPr>
        <w:t>Jenkins JC, Chojnacky DC, Heath LS, Birdsey RA. 2004. Comprehensive database of diameter-based biomass regressions for North American tree species. USDA For. Serv. Gen. Tech. Rep. NE-319.</w:t>
      </w:r>
    </w:p>
    <w:p w14:paraId="027BB677" w14:textId="678838BB" w:rsidR="00D71524" w:rsidRPr="0008641A" w:rsidRDefault="00A13723">
      <w:pPr>
        <w:rPr>
          <w:sz w:val="28"/>
          <w:szCs w:val="28"/>
        </w:rPr>
      </w:pPr>
      <w:r w:rsidRPr="00A13723">
        <w:rPr>
          <w:sz w:val="28"/>
          <w:szCs w:val="28"/>
        </w:rPr>
        <w:t>McMahon SM</w:t>
      </w:r>
      <w:r w:rsidR="00B326D8">
        <w:rPr>
          <w:sz w:val="28"/>
          <w:szCs w:val="28"/>
        </w:rPr>
        <w:t xml:space="preserve">, </w:t>
      </w:r>
      <w:r w:rsidRPr="00A13723">
        <w:rPr>
          <w:sz w:val="28"/>
          <w:szCs w:val="28"/>
        </w:rPr>
        <w:t>Parker</w:t>
      </w:r>
      <w:r w:rsidR="00B326D8">
        <w:rPr>
          <w:sz w:val="28"/>
          <w:szCs w:val="28"/>
        </w:rPr>
        <w:t xml:space="preserve"> </w:t>
      </w:r>
      <w:r w:rsidRPr="00A13723">
        <w:rPr>
          <w:sz w:val="28"/>
          <w:szCs w:val="28"/>
        </w:rPr>
        <w:t>GG</w:t>
      </w:r>
      <w:r w:rsidR="00B326D8">
        <w:rPr>
          <w:sz w:val="28"/>
          <w:szCs w:val="28"/>
        </w:rPr>
        <w:t xml:space="preserve">, </w:t>
      </w:r>
      <w:r w:rsidRPr="00A13723">
        <w:rPr>
          <w:sz w:val="28"/>
          <w:szCs w:val="28"/>
        </w:rPr>
        <w:t>Miller DR.</w:t>
      </w:r>
      <w:r w:rsidR="00B326D8">
        <w:rPr>
          <w:sz w:val="28"/>
          <w:szCs w:val="28"/>
        </w:rPr>
        <w:t xml:space="preserve">  2010.  </w:t>
      </w:r>
      <w:r w:rsidR="00B326D8" w:rsidRPr="00B326D8">
        <w:rPr>
          <w:sz w:val="28"/>
          <w:szCs w:val="28"/>
        </w:rPr>
        <w:t>Evidence for a recent increase in forest growth</w:t>
      </w:r>
      <w:r w:rsidR="00B326D8">
        <w:rPr>
          <w:sz w:val="28"/>
          <w:szCs w:val="28"/>
        </w:rPr>
        <w:t xml:space="preserve">.  </w:t>
      </w:r>
      <w:r w:rsidR="00B326D8" w:rsidRPr="00B326D8">
        <w:rPr>
          <w:sz w:val="28"/>
          <w:szCs w:val="28"/>
        </w:rPr>
        <w:t>Proceedings of the National Academy of Sciences of the United States of America. 107:3611–3615.</w:t>
      </w:r>
      <w:r w:rsidR="00B326D8">
        <w:rPr>
          <w:sz w:val="28"/>
          <w:szCs w:val="28"/>
        </w:rPr>
        <w:t xml:space="preserve">  D</w:t>
      </w:r>
      <w:r w:rsidRPr="00A13723">
        <w:rPr>
          <w:sz w:val="28"/>
          <w:szCs w:val="28"/>
        </w:rPr>
        <w:t>OI:</w:t>
      </w:r>
      <w:r w:rsidR="00B326D8">
        <w:rPr>
          <w:sz w:val="28"/>
          <w:szCs w:val="28"/>
        </w:rPr>
        <w:t xml:space="preserve"> </w:t>
      </w:r>
      <w:hyperlink r:id="rId4" w:history="1">
        <w:r w:rsidR="00735B8B" w:rsidRPr="00FB0732">
          <w:rPr>
            <w:rStyle w:val="Hyperlink"/>
            <w:sz w:val="28"/>
            <w:szCs w:val="28"/>
          </w:rPr>
          <w:t>https://doi.org/10.1073/pnas.0912376107</w:t>
        </w:r>
      </w:hyperlink>
    </w:p>
    <w:sectPr w:rsidR="00D71524" w:rsidRPr="00086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CA"/>
    <w:rsid w:val="00047BB9"/>
    <w:rsid w:val="00083280"/>
    <w:rsid w:val="0008641A"/>
    <w:rsid w:val="000D08ED"/>
    <w:rsid w:val="001A7A2E"/>
    <w:rsid w:val="002830E9"/>
    <w:rsid w:val="003575BB"/>
    <w:rsid w:val="00397F6E"/>
    <w:rsid w:val="003A3CC3"/>
    <w:rsid w:val="00735B8B"/>
    <w:rsid w:val="0076468C"/>
    <w:rsid w:val="00777334"/>
    <w:rsid w:val="00871621"/>
    <w:rsid w:val="008728D0"/>
    <w:rsid w:val="0088484F"/>
    <w:rsid w:val="00997B69"/>
    <w:rsid w:val="00A01920"/>
    <w:rsid w:val="00A13723"/>
    <w:rsid w:val="00A446CA"/>
    <w:rsid w:val="00AA0723"/>
    <w:rsid w:val="00B326D8"/>
    <w:rsid w:val="00CE2DA0"/>
    <w:rsid w:val="00D71524"/>
    <w:rsid w:val="00D94FE8"/>
    <w:rsid w:val="00E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33BF"/>
  <w15:chartTrackingRefBased/>
  <w15:docId w15:val="{86F602FF-5C04-409A-99A4-B2B8246C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B8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176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05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49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2138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73/pnas.0912376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Geoffrey</dc:creator>
  <cp:keywords/>
  <dc:description/>
  <cp:lastModifiedBy>Parker, Geoffrey</cp:lastModifiedBy>
  <cp:revision>21</cp:revision>
  <dcterms:created xsi:type="dcterms:W3CDTF">2021-04-22T16:51:00Z</dcterms:created>
  <dcterms:modified xsi:type="dcterms:W3CDTF">2021-05-17T15:13:00Z</dcterms:modified>
</cp:coreProperties>
</file>