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1C3BA" w14:textId="2FCACE76" w:rsidR="00997B69" w:rsidRPr="0008641A" w:rsidRDefault="0008641A">
      <w:pPr>
        <w:rPr>
          <w:sz w:val="28"/>
          <w:szCs w:val="28"/>
        </w:rPr>
      </w:pPr>
      <w:r w:rsidRPr="0008641A">
        <w:rPr>
          <w:sz w:val="28"/>
          <w:szCs w:val="28"/>
        </w:rPr>
        <w:t>NotesonSERC_SLAstatistics2021</w:t>
      </w:r>
      <w:r w:rsidR="008903FE">
        <w:rPr>
          <w:sz w:val="28"/>
          <w:szCs w:val="28"/>
        </w:rPr>
        <w:t>113</w:t>
      </w:r>
      <w:r w:rsidRPr="0008641A">
        <w:rPr>
          <w:sz w:val="28"/>
          <w:szCs w:val="28"/>
        </w:rPr>
        <w:t>.docx</w:t>
      </w:r>
    </w:p>
    <w:p w14:paraId="39A2CFB7" w14:textId="77777777" w:rsidR="001A7A2E" w:rsidRDefault="001A7A2E" w:rsidP="00735B8B">
      <w:pPr>
        <w:rPr>
          <w:sz w:val="28"/>
          <w:szCs w:val="28"/>
        </w:rPr>
      </w:pPr>
    </w:p>
    <w:p w14:paraId="70B85448" w14:textId="48CE9E7C" w:rsidR="00735B8B" w:rsidRDefault="0008641A" w:rsidP="00735B8B">
      <w:pPr>
        <w:rPr>
          <w:sz w:val="28"/>
          <w:szCs w:val="28"/>
        </w:rPr>
      </w:pPr>
      <w:r w:rsidRPr="0008641A">
        <w:rPr>
          <w:sz w:val="28"/>
          <w:szCs w:val="28"/>
        </w:rPr>
        <w:t>Statistics of the Specific Leaf Area values at the Smithsonian Environmental Research Center (SERC)</w:t>
      </w:r>
      <w:r>
        <w:rPr>
          <w:sz w:val="28"/>
          <w:szCs w:val="28"/>
        </w:rPr>
        <w:t xml:space="preserve"> given in datafile</w:t>
      </w:r>
      <w:r w:rsidR="00735B8B">
        <w:rPr>
          <w:sz w:val="28"/>
          <w:szCs w:val="28"/>
        </w:rPr>
        <w:t xml:space="preserve"> </w:t>
      </w:r>
      <w:r w:rsidR="00735B8B" w:rsidRPr="00F32C93">
        <w:rPr>
          <w:b/>
          <w:bCs/>
          <w:sz w:val="28"/>
          <w:szCs w:val="28"/>
        </w:rPr>
        <w:t>SERCSLAbyspecies4.25.21.xlsx</w:t>
      </w:r>
    </w:p>
    <w:p w14:paraId="03248405" w14:textId="77777777" w:rsidR="0008641A" w:rsidRDefault="0008641A">
      <w:pPr>
        <w:rPr>
          <w:sz w:val="28"/>
          <w:szCs w:val="28"/>
        </w:rPr>
      </w:pPr>
    </w:p>
    <w:p w14:paraId="79BFC340" w14:textId="7CAC7B05" w:rsidR="0008641A" w:rsidRPr="00735B8B" w:rsidRDefault="0008641A">
      <w:pPr>
        <w:rPr>
          <w:sz w:val="28"/>
          <w:szCs w:val="28"/>
          <w:u w:val="single"/>
        </w:rPr>
      </w:pPr>
      <w:r w:rsidRPr="00735B8B">
        <w:rPr>
          <w:sz w:val="28"/>
          <w:szCs w:val="28"/>
          <w:u w:val="single"/>
        </w:rPr>
        <w:t>Background on the sample collections</w:t>
      </w:r>
    </w:p>
    <w:p w14:paraId="71DA259D" w14:textId="38048038" w:rsidR="0008641A" w:rsidRDefault="0008641A">
      <w:pPr>
        <w:rPr>
          <w:sz w:val="28"/>
          <w:szCs w:val="28"/>
        </w:rPr>
      </w:pPr>
      <w:r>
        <w:rPr>
          <w:sz w:val="28"/>
          <w:szCs w:val="28"/>
        </w:rPr>
        <w:t>The samples are of two sorts</w:t>
      </w:r>
      <w:r w:rsidR="00735B8B">
        <w:rPr>
          <w:sz w:val="28"/>
          <w:szCs w:val="28"/>
        </w:rPr>
        <w:t xml:space="preserve">.  First are </w:t>
      </w:r>
      <w:r>
        <w:rPr>
          <w:sz w:val="28"/>
          <w:szCs w:val="28"/>
        </w:rPr>
        <w:t xml:space="preserve">those collected at the forest floor soon after falling in the Autumn.  These were whole leaves collected </w:t>
      </w:r>
      <w:r w:rsidR="00D94FE8">
        <w:rPr>
          <w:sz w:val="28"/>
          <w:szCs w:val="28"/>
        </w:rPr>
        <w:t>during</w:t>
      </w:r>
      <w:r>
        <w:rPr>
          <w:sz w:val="28"/>
          <w:szCs w:val="28"/>
        </w:rPr>
        <w:t xml:space="preserve"> the entire Fall period over several years in many plots of the SERC </w:t>
      </w:r>
      <w:proofErr w:type="spellStart"/>
      <w:r>
        <w:rPr>
          <w:sz w:val="28"/>
          <w:szCs w:val="28"/>
        </w:rPr>
        <w:t>chronosequence</w:t>
      </w:r>
      <w:proofErr w:type="spellEnd"/>
      <w:r>
        <w:rPr>
          <w:sz w:val="28"/>
          <w:szCs w:val="28"/>
        </w:rPr>
        <w:t xml:space="preserve"> of tulip poplar forests (project described in </w:t>
      </w:r>
      <w:r w:rsidR="00D94FE8">
        <w:rPr>
          <w:sz w:val="28"/>
          <w:szCs w:val="28"/>
        </w:rPr>
        <w:t xml:space="preserve">Brown and Parker (2004) and </w:t>
      </w:r>
      <w:r>
        <w:rPr>
          <w:sz w:val="28"/>
          <w:szCs w:val="28"/>
        </w:rPr>
        <w:t xml:space="preserve">McMahon et al. </w:t>
      </w:r>
      <w:r w:rsidR="00D94FE8">
        <w:rPr>
          <w:sz w:val="28"/>
          <w:szCs w:val="28"/>
        </w:rPr>
        <w:t>(</w:t>
      </w:r>
      <w:r>
        <w:rPr>
          <w:sz w:val="28"/>
          <w:szCs w:val="28"/>
        </w:rPr>
        <w:t>2010</w:t>
      </w:r>
      <w:r w:rsidR="00D94FE8">
        <w:rPr>
          <w:sz w:val="28"/>
          <w:szCs w:val="28"/>
        </w:rPr>
        <w:t>)</w:t>
      </w:r>
      <w:r>
        <w:rPr>
          <w:sz w:val="28"/>
          <w:szCs w:val="28"/>
        </w:rPr>
        <w:t xml:space="preserve">) – these samples are </w:t>
      </w:r>
      <w:r w:rsidR="003575BB">
        <w:rPr>
          <w:sz w:val="28"/>
          <w:szCs w:val="28"/>
        </w:rPr>
        <w:t>label</w:t>
      </w:r>
      <w:r>
        <w:rPr>
          <w:sz w:val="28"/>
          <w:szCs w:val="28"/>
        </w:rPr>
        <w:t>ed ‘fallen’ in the origin column.  We consider these to be the most spatially and temporally representative.  The other samples, labelled ‘attached,’ are of fresh, whole leaves collected within the canopy of the mature forest in the central section of SERC (for a description of this stand see Parker et al. 1988</w:t>
      </w:r>
      <w:r w:rsidR="00735B8B">
        <w:rPr>
          <w:sz w:val="28"/>
          <w:szCs w:val="28"/>
        </w:rPr>
        <w:t xml:space="preserve">, </w:t>
      </w:r>
      <w:r>
        <w:rPr>
          <w:sz w:val="28"/>
          <w:szCs w:val="28"/>
        </w:rPr>
        <w:t>Parker and Tibbs 2004</w:t>
      </w:r>
      <w:r w:rsidR="00735B8B">
        <w:rPr>
          <w:sz w:val="28"/>
          <w:szCs w:val="28"/>
        </w:rPr>
        <w:t xml:space="preserve"> and Coble at el. 2017</w:t>
      </w:r>
      <w:r>
        <w:rPr>
          <w:sz w:val="28"/>
          <w:szCs w:val="28"/>
        </w:rPr>
        <w:t>).</w:t>
      </w:r>
      <w:r w:rsidR="008728D0">
        <w:rPr>
          <w:sz w:val="28"/>
          <w:szCs w:val="28"/>
        </w:rPr>
        <w:t xml:space="preserve">  These are tabled when </w:t>
      </w:r>
      <w:r w:rsidR="00735B8B">
        <w:rPr>
          <w:sz w:val="28"/>
          <w:szCs w:val="28"/>
        </w:rPr>
        <w:t xml:space="preserve">fallen samples were </w:t>
      </w:r>
      <w:r w:rsidR="008728D0">
        <w:rPr>
          <w:sz w:val="28"/>
          <w:szCs w:val="28"/>
        </w:rPr>
        <w:t xml:space="preserve">not available or when the sample size </w:t>
      </w:r>
      <w:r w:rsidR="003575BB">
        <w:rPr>
          <w:sz w:val="28"/>
          <w:szCs w:val="28"/>
        </w:rPr>
        <w:t xml:space="preserve">of the ‘fallen’ type </w:t>
      </w:r>
      <w:r w:rsidR="008728D0">
        <w:rPr>
          <w:sz w:val="28"/>
          <w:szCs w:val="28"/>
        </w:rPr>
        <w:t xml:space="preserve">was small.  Only entire leaves with minimal insect damage were used.    </w:t>
      </w:r>
    </w:p>
    <w:p w14:paraId="14B0FB25" w14:textId="77777777" w:rsidR="0008641A" w:rsidRDefault="0008641A">
      <w:pPr>
        <w:rPr>
          <w:sz w:val="28"/>
          <w:szCs w:val="28"/>
        </w:rPr>
      </w:pPr>
    </w:p>
    <w:p w14:paraId="7078A86B" w14:textId="3FB81957" w:rsidR="0008641A" w:rsidRPr="00735B8B" w:rsidRDefault="0008641A">
      <w:pPr>
        <w:rPr>
          <w:sz w:val="28"/>
          <w:szCs w:val="28"/>
          <w:u w:val="single"/>
        </w:rPr>
      </w:pPr>
      <w:r w:rsidRPr="00735B8B">
        <w:rPr>
          <w:sz w:val="28"/>
          <w:szCs w:val="28"/>
          <w:u w:val="single"/>
        </w:rPr>
        <w:t>Background on the sample processing</w:t>
      </w:r>
    </w:p>
    <w:p w14:paraId="63C64840" w14:textId="12BEC7B6" w:rsidR="001A7A2E" w:rsidRPr="001A7A2E" w:rsidRDefault="0008641A">
      <w:pPr>
        <w:rPr>
          <w:sz w:val="28"/>
          <w:szCs w:val="28"/>
        </w:rPr>
      </w:pPr>
      <w:r>
        <w:rPr>
          <w:sz w:val="28"/>
          <w:szCs w:val="28"/>
        </w:rPr>
        <w:t xml:space="preserve">Leaves were dried </w:t>
      </w:r>
      <w:r w:rsidR="003575BB">
        <w:rPr>
          <w:sz w:val="28"/>
          <w:szCs w:val="28"/>
        </w:rPr>
        <w:t xml:space="preserve">to </w:t>
      </w:r>
      <w:r>
        <w:rPr>
          <w:sz w:val="28"/>
          <w:szCs w:val="28"/>
        </w:rPr>
        <w:t>a constant weight</w:t>
      </w:r>
      <w:r w:rsidR="00D94FE8" w:rsidRPr="00D94FE8">
        <w:rPr>
          <w:sz w:val="28"/>
          <w:szCs w:val="28"/>
        </w:rPr>
        <w:t xml:space="preserve"> </w:t>
      </w:r>
      <w:r w:rsidR="00D94FE8">
        <w:rPr>
          <w:sz w:val="28"/>
          <w:szCs w:val="28"/>
        </w:rPr>
        <w:t>at 60 C</w:t>
      </w:r>
      <w:r>
        <w:rPr>
          <w:sz w:val="28"/>
          <w:szCs w:val="28"/>
        </w:rPr>
        <w:t xml:space="preserve"> and weighed.  Leaf areas were measured with a LI-COR </w:t>
      </w:r>
      <w:r w:rsidR="00B326D8" w:rsidRPr="00B326D8">
        <w:rPr>
          <w:sz w:val="28"/>
          <w:szCs w:val="28"/>
        </w:rPr>
        <w:t xml:space="preserve">model 3100 </w:t>
      </w:r>
      <w:r>
        <w:rPr>
          <w:sz w:val="28"/>
          <w:szCs w:val="28"/>
        </w:rPr>
        <w:t xml:space="preserve">Leaf Area Meter, calibrated </w:t>
      </w:r>
      <w:r w:rsidR="00D94FE8">
        <w:rPr>
          <w:sz w:val="28"/>
          <w:szCs w:val="28"/>
        </w:rPr>
        <w:t xml:space="preserve">with </w:t>
      </w:r>
      <w:r>
        <w:rPr>
          <w:sz w:val="28"/>
          <w:szCs w:val="28"/>
        </w:rPr>
        <w:t>standard</w:t>
      </w:r>
      <w:r w:rsidR="00D94FE8">
        <w:rPr>
          <w:sz w:val="28"/>
          <w:szCs w:val="28"/>
        </w:rPr>
        <w:t xml:space="preserve"> area disks</w:t>
      </w:r>
      <w:r>
        <w:rPr>
          <w:sz w:val="28"/>
          <w:szCs w:val="28"/>
        </w:rPr>
        <w:t>.</w:t>
      </w:r>
      <w:r w:rsidR="00D94FE8">
        <w:rPr>
          <w:sz w:val="28"/>
          <w:szCs w:val="28"/>
        </w:rPr>
        <w:t xml:space="preserve">  Some </w:t>
      </w:r>
      <w:r w:rsidR="00735B8B">
        <w:rPr>
          <w:sz w:val="28"/>
          <w:szCs w:val="28"/>
        </w:rPr>
        <w:t>outliers</w:t>
      </w:r>
      <w:r w:rsidR="00D94FE8">
        <w:rPr>
          <w:sz w:val="28"/>
          <w:szCs w:val="28"/>
        </w:rPr>
        <w:t xml:space="preserve"> </w:t>
      </w:r>
      <w:r w:rsidR="008728D0">
        <w:rPr>
          <w:sz w:val="28"/>
          <w:szCs w:val="28"/>
        </w:rPr>
        <w:t xml:space="preserve">were </w:t>
      </w:r>
      <w:r w:rsidR="00D94FE8">
        <w:rPr>
          <w:sz w:val="28"/>
          <w:szCs w:val="28"/>
        </w:rPr>
        <w:t xml:space="preserve">excluded from the data </w:t>
      </w:r>
      <w:r w:rsidR="00735B8B">
        <w:rPr>
          <w:sz w:val="28"/>
          <w:szCs w:val="28"/>
        </w:rPr>
        <w:t>(</w:t>
      </w:r>
      <w:r w:rsidR="001D7AC4">
        <w:rPr>
          <w:sz w:val="28"/>
          <w:szCs w:val="28"/>
        </w:rPr>
        <w:t>1.25</w:t>
      </w:r>
      <w:r w:rsidR="00D94FE8">
        <w:rPr>
          <w:sz w:val="28"/>
          <w:szCs w:val="28"/>
        </w:rPr>
        <w:t xml:space="preserve"> % of the entire dataset</w:t>
      </w:r>
      <w:r w:rsidR="00735B8B">
        <w:rPr>
          <w:sz w:val="28"/>
          <w:szCs w:val="28"/>
        </w:rPr>
        <w:t>)</w:t>
      </w:r>
      <w:r w:rsidR="00D94FE8">
        <w:rPr>
          <w:sz w:val="28"/>
          <w:szCs w:val="28"/>
        </w:rPr>
        <w:t>.  Leaf-based SLA (cm</w:t>
      </w:r>
      <w:r w:rsidR="00D94FE8" w:rsidRPr="00D94FE8">
        <w:rPr>
          <w:sz w:val="28"/>
          <w:szCs w:val="28"/>
          <w:vertAlign w:val="superscript"/>
        </w:rPr>
        <w:t>2</w:t>
      </w:r>
      <w:r w:rsidR="00D94FE8">
        <w:rPr>
          <w:sz w:val="28"/>
          <w:szCs w:val="28"/>
        </w:rPr>
        <w:t xml:space="preserve"> g</w:t>
      </w:r>
      <w:r w:rsidR="00D94FE8" w:rsidRPr="00D94FE8">
        <w:rPr>
          <w:sz w:val="28"/>
          <w:szCs w:val="28"/>
          <w:vertAlign w:val="superscript"/>
        </w:rPr>
        <w:t>-1</w:t>
      </w:r>
      <w:r w:rsidR="00D94FE8">
        <w:rPr>
          <w:sz w:val="28"/>
          <w:szCs w:val="28"/>
        </w:rPr>
        <w:t>) is calculated as leaf area (cm</w:t>
      </w:r>
      <w:r w:rsidR="00D94FE8" w:rsidRPr="003575BB">
        <w:rPr>
          <w:sz w:val="28"/>
          <w:szCs w:val="28"/>
          <w:vertAlign w:val="superscript"/>
        </w:rPr>
        <w:t>2</w:t>
      </w:r>
      <w:r w:rsidR="00D94FE8">
        <w:rPr>
          <w:sz w:val="28"/>
          <w:szCs w:val="28"/>
        </w:rPr>
        <w:t xml:space="preserve">)/leaf dry mass (g).  </w:t>
      </w:r>
      <w:r w:rsidR="00735B8B">
        <w:rPr>
          <w:sz w:val="28"/>
          <w:szCs w:val="28"/>
        </w:rPr>
        <w:t>N</w:t>
      </w:r>
      <w:r w:rsidR="00D94FE8">
        <w:rPr>
          <w:sz w:val="28"/>
          <w:szCs w:val="28"/>
        </w:rPr>
        <w:t xml:space="preserve">ote that the SLA is not </w:t>
      </w:r>
      <w:proofErr w:type="gramStart"/>
      <w:r w:rsidR="00D94FE8">
        <w:rPr>
          <w:sz w:val="28"/>
          <w:szCs w:val="28"/>
        </w:rPr>
        <w:t>constant, but</w:t>
      </w:r>
      <w:proofErr w:type="gramEnd"/>
      <w:r w:rsidR="00D94FE8">
        <w:rPr>
          <w:sz w:val="28"/>
          <w:szCs w:val="28"/>
        </w:rPr>
        <w:t xml:space="preserve"> tends to decline increasing leaf mass.  In, fact </w:t>
      </w:r>
      <w:proofErr w:type="gramStart"/>
      <w:r w:rsidR="001A7A2E">
        <w:rPr>
          <w:sz w:val="28"/>
          <w:szCs w:val="28"/>
        </w:rPr>
        <w:t>the majority of</w:t>
      </w:r>
      <w:proofErr w:type="gramEnd"/>
      <w:r w:rsidR="001A7A2E">
        <w:rPr>
          <w:sz w:val="28"/>
          <w:szCs w:val="28"/>
        </w:rPr>
        <w:t xml:space="preserve"> </w:t>
      </w:r>
      <w:r w:rsidR="00D94FE8">
        <w:rPr>
          <w:sz w:val="28"/>
          <w:szCs w:val="28"/>
        </w:rPr>
        <w:t xml:space="preserve">species showed a significantly negative relation between SLA and mass.  We suspect this effect relates to </w:t>
      </w:r>
      <w:r w:rsidR="008728D0">
        <w:rPr>
          <w:sz w:val="28"/>
          <w:szCs w:val="28"/>
        </w:rPr>
        <w:t>change in the</w:t>
      </w:r>
      <w:r w:rsidR="003575BB">
        <w:rPr>
          <w:sz w:val="28"/>
          <w:szCs w:val="28"/>
        </w:rPr>
        <w:t xml:space="preserve"> </w:t>
      </w:r>
      <w:r w:rsidR="00735B8B">
        <w:rPr>
          <w:sz w:val="28"/>
          <w:szCs w:val="28"/>
        </w:rPr>
        <w:t>relative</w:t>
      </w:r>
      <w:r w:rsidR="003575BB">
        <w:rPr>
          <w:sz w:val="28"/>
          <w:szCs w:val="28"/>
        </w:rPr>
        <w:t xml:space="preserve"> </w:t>
      </w:r>
      <w:r w:rsidR="008728D0">
        <w:rPr>
          <w:sz w:val="28"/>
          <w:szCs w:val="28"/>
        </w:rPr>
        <w:t>contribution of</w:t>
      </w:r>
      <w:r w:rsidR="00D94FE8">
        <w:rPr>
          <w:sz w:val="28"/>
          <w:szCs w:val="28"/>
        </w:rPr>
        <w:t xml:space="preserve"> supportive structure (much mass and little area) and lamina</w:t>
      </w:r>
      <w:r w:rsidR="008728D0">
        <w:rPr>
          <w:sz w:val="28"/>
          <w:szCs w:val="28"/>
        </w:rPr>
        <w:t xml:space="preserve"> (more area and less mass) with increasing leaf mass.</w:t>
      </w:r>
      <w:r w:rsidR="00D94FE8">
        <w:rPr>
          <w:sz w:val="28"/>
          <w:szCs w:val="28"/>
        </w:rPr>
        <w:t xml:space="preserve"> </w:t>
      </w:r>
      <w:r w:rsidR="008728D0">
        <w:rPr>
          <w:sz w:val="28"/>
          <w:szCs w:val="28"/>
        </w:rPr>
        <w:t xml:space="preserve"> </w:t>
      </w:r>
      <w:proofErr w:type="gramStart"/>
      <w:r w:rsidR="008728D0">
        <w:rPr>
          <w:sz w:val="28"/>
          <w:szCs w:val="28"/>
        </w:rPr>
        <w:t>Therefore</w:t>
      </w:r>
      <w:proofErr w:type="gramEnd"/>
      <w:r w:rsidR="008728D0">
        <w:rPr>
          <w:sz w:val="28"/>
          <w:szCs w:val="28"/>
        </w:rPr>
        <w:t xml:space="preserve"> we also provide the integral mean SLA, which is the mean area/mean mass.  Cases where the integral mean is very different from the mean ratio are where the SLA-mass relation is markedly non-linear.  </w:t>
      </w:r>
    </w:p>
    <w:p w14:paraId="48FE4DC7" w14:textId="46B91EF7" w:rsidR="0008641A" w:rsidRPr="00F32C93" w:rsidRDefault="0008641A">
      <w:pPr>
        <w:rPr>
          <w:sz w:val="28"/>
          <w:szCs w:val="28"/>
          <w:u w:val="single"/>
        </w:rPr>
      </w:pPr>
      <w:bookmarkStart w:id="0" w:name="_Hlk70341909"/>
      <w:r w:rsidRPr="00F32C93">
        <w:rPr>
          <w:sz w:val="28"/>
          <w:szCs w:val="28"/>
          <w:u w:val="single"/>
        </w:rPr>
        <w:lastRenderedPageBreak/>
        <w:t>Meaning of the columns</w:t>
      </w:r>
      <w:r w:rsidR="00F32C93" w:rsidRPr="00F32C93">
        <w:rPr>
          <w:sz w:val="28"/>
          <w:szCs w:val="28"/>
          <w:u w:val="single"/>
        </w:rPr>
        <w:t xml:space="preserve"> in </w:t>
      </w:r>
      <w:proofErr w:type="gramStart"/>
      <w:r w:rsidR="00F32C93" w:rsidRPr="00F32C93">
        <w:rPr>
          <w:sz w:val="28"/>
          <w:szCs w:val="28"/>
          <w:u w:val="single"/>
        </w:rPr>
        <w:t xml:space="preserve">file  </w:t>
      </w:r>
      <w:r w:rsidR="00F32C93" w:rsidRPr="00F32C93">
        <w:rPr>
          <w:b/>
          <w:bCs/>
          <w:sz w:val="28"/>
          <w:szCs w:val="28"/>
          <w:u w:val="single"/>
        </w:rPr>
        <w:t>SERCSLAbyspecies4.25.21.xlsx</w:t>
      </w:r>
      <w:proofErr w:type="gramEnd"/>
    </w:p>
    <w:p w14:paraId="05D2F824" w14:textId="7B7F7296" w:rsidR="0008641A" w:rsidRDefault="00D94FE8">
      <w:pPr>
        <w:rPr>
          <w:sz w:val="28"/>
          <w:szCs w:val="28"/>
        </w:rPr>
      </w:pPr>
      <w:r>
        <w:rPr>
          <w:sz w:val="28"/>
          <w:szCs w:val="28"/>
        </w:rPr>
        <w:t>SERC numerical code</w:t>
      </w:r>
    </w:p>
    <w:p w14:paraId="216FAA69" w14:textId="77777777" w:rsidR="00735B8B" w:rsidRDefault="00D94FE8">
      <w:pPr>
        <w:rPr>
          <w:sz w:val="28"/>
          <w:szCs w:val="28"/>
        </w:rPr>
      </w:pPr>
      <w:r>
        <w:rPr>
          <w:sz w:val="28"/>
          <w:szCs w:val="28"/>
        </w:rPr>
        <w:t>Standard taxonomic</w:t>
      </w:r>
      <w:r w:rsidR="008728D0">
        <w:rPr>
          <w:sz w:val="28"/>
          <w:szCs w:val="28"/>
        </w:rPr>
        <w:t xml:space="preserve"> codes</w:t>
      </w:r>
    </w:p>
    <w:p w14:paraId="635BD302" w14:textId="0FB3352E" w:rsidR="00D94FE8" w:rsidRDefault="00735B8B">
      <w:pPr>
        <w:rPr>
          <w:sz w:val="28"/>
          <w:szCs w:val="28"/>
        </w:rPr>
      </w:pPr>
      <w:r>
        <w:rPr>
          <w:sz w:val="28"/>
          <w:szCs w:val="28"/>
        </w:rPr>
        <w:t>Species binomial name</w:t>
      </w:r>
      <w:r w:rsidR="008728D0">
        <w:rPr>
          <w:sz w:val="28"/>
          <w:szCs w:val="28"/>
        </w:rPr>
        <w:t xml:space="preserve"> </w:t>
      </w:r>
    </w:p>
    <w:p w14:paraId="77808847" w14:textId="5E21B61E" w:rsidR="00D94FE8" w:rsidRDefault="00D94FE8">
      <w:pPr>
        <w:rPr>
          <w:sz w:val="28"/>
          <w:szCs w:val="28"/>
        </w:rPr>
      </w:pPr>
      <w:r>
        <w:rPr>
          <w:sz w:val="28"/>
          <w:szCs w:val="28"/>
        </w:rPr>
        <w:t xml:space="preserve">Origin </w:t>
      </w:r>
      <w:r w:rsidR="00735B8B">
        <w:rPr>
          <w:sz w:val="28"/>
          <w:szCs w:val="28"/>
        </w:rPr>
        <w:t>(</w:t>
      </w:r>
      <w:r>
        <w:rPr>
          <w:sz w:val="28"/>
          <w:szCs w:val="28"/>
        </w:rPr>
        <w:t>attached or fallen</w:t>
      </w:r>
      <w:r w:rsidR="00735B8B">
        <w:rPr>
          <w:sz w:val="28"/>
          <w:szCs w:val="28"/>
        </w:rPr>
        <w:t>)</w:t>
      </w:r>
    </w:p>
    <w:p w14:paraId="3389D901" w14:textId="3E716490" w:rsidR="00D94FE8" w:rsidRDefault="00D94FE8">
      <w:pPr>
        <w:rPr>
          <w:sz w:val="28"/>
          <w:szCs w:val="28"/>
        </w:rPr>
      </w:pPr>
      <w:r>
        <w:rPr>
          <w:sz w:val="28"/>
          <w:szCs w:val="28"/>
        </w:rPr>
        <w:t xml:space="preserve">N </w:t>
      </w:r>
      <w:proofErr w:type="gramStart"/>
      <w:r w:rsidR="001A7A2E">
        <w:rPr>
          <w:sz w:val="28"/>
          <w:szCs w:val="28"/>
        </w:rPr>
        <w:t xml:space="preserve">- </w:t>
      </w:r>
      <w:r>
        <w:rPr>
          <w:sz w:val="28"/>
          <w:szCs w:val="28"/>
        </w:rPr>
        <w:t xml:space="preserve"> number</w:t>
      </w:r>
      <w:proofErr w:type="gramEnd"/>
      <w:r>
        <w:rPr>
          <w:sz w:val="28"/>
          <w:szCs w:val="28"/>
        </w:rPr>
        <w:t xml:space="preserve"> of samples</w:t>
      </w:r>
    </w:p>
    <w:p w14:paraId="1EE16802" w14:textId="690BCD32" w:rsidR="00B326D8" w:rsidRDefault="00D94FE8">
      <w:pPr>
        <w:rPr>
          <w:sz w:val="28"/>
          <w:szCs w:val="28"/>
        </w:rPr>
      </w:pPr>
      <w:r>
        <w:rPr>
          <w:sz w:val="28"/>
          <w:szCs w:val="28"/>
        </w:rPr>
        <w:t>Mean</w:t>
      </w:r>
      <w:r w:rsidR="003575BB">
        <w:rPr>
          <w:sz w:val="28"/>
          <w:szCs w:val="28"/>
        </w:rPr>
        <w:t xml:space="preserve"> </w:t>
      </w:r>
      <w:r>
        <w:rPr>
          <w:sz w:val="28"/>
          <w:szCs w:val="28"/>
        </w:rPr>
        <w:t>leaf area, cm</w:t>
      </w:r>
      <w:r w:rsidRPr="00735B8B">
        <w:rPr>
          <w:sz w:val="28"/>
          <w:szCs w:val="28"/>
          <w:vertAlign w:val="superscript"/>
        </w:rPr>
        <w:t>2</w:t>
      </w:r>
    </w:p>
    <w:p w14:paraId="04CBECCE" w14:textId="04E7E96F" w:rsidR="00735B8B" w:rsidRDefault="00735B8B">
      <w:pPr>
        <w:rPr>
          <w:sz w:val="28"/>
          <w:szCs w:val="28"/>
        </w:rPr>
      </w:pPr>
      <w:r>
        <w:rPr>
          <w:sz w:val="28"/>
          <w:szCs w:val="28"/>
        </w:rPr>
        <w:t>Standard deviation of leaf area</w:t>
      </w:r>
    </w:p>
    <w:p w14:paraId="0E0BB246" w14:textId="3D95EAE1" w:rsidR="00D94FE8" w:rsidRDefault="00D94FE8">
      <w:pPr>
        <w:rPr>
          <w:sz w:val="28"/>
          <w:szCs w:val="28"/>
        </w:rPr>
      </w:pPr>
      <w:r>
        <w:rPr>
          <w:sz w:val="28"/>
          <w:szCs w:val="28"/>
        </w:rPr>
        <w:t>Mean leaf mass</w:t>
      </w:r>
      <w:r w:rsidR="003575BB">
        <w:rPr>
          <w:sz w:val="28"/>
          <w:szCs w:val="28"/>
        </w:rPr>
        <w:t>, g</w:t>
      </w:r>
    </w:p>
    <w:p w14:paraId="3B60A018" w14:textId="064E2002" w:rsidR="00735B8B" w:rsidRDefault="00735B8B">
      <w:pPr>
        <w:rPr>
          <w:sz w:val="28"/>
          <w:szCs w:val="28"/>
        </w:rPr>
      </w:pPr>
      <w:r>
        <w:rPr>
          <w:sz w:val="28"/>
          <w:szCs w:val="28"/>
        </w:rPr>
        <w:t>Standard deviation of leaf mass</w:t>
      </w:r>
    </w:p>
    <w:p w14:paraId="3736051C" w14:textId="346A3C1E" w:rsidR="00D94FE8" w:rsidRDefault="00D94FE8">
      <w:pPr>
        <w:rPr>
          <w:sz w:val="28"/>
          <w:szCs w:val="28"/>
        </w:rPr>
      </w:pPr>
      <w:r>
        <w:rPr>
          <w:sz w:val="28"/>
          <w:szCs w:val="28"/>
        </w:rPr>
        <w:t>Mean SLA</w:t>
      </w:r>
      <w:r w:rsidR="003575BB">
        <w:rPr>
          <w:sz w:val="28"/>
          <w:szCs w:val="28"/>
        </w:rPr>
        <w:t>,</w:t>
      </w:r>
      <w:r w:rsidR="003575BB" w:rsidRPr="003575BB">
        <w:rPr>
          <w:sz w:val="28"/>
          <w:szCs w:val="28"/>
        </w:rPr>
        <w:t xml:space="preserve"> </w:t>
      </w:r>
      <w:r w:rsidR="003575BB">
        <w:rPr>
          <w:sz w:val="28"/>
          <w:szCs w:val="28"/>
        </w:rPr>
        <w:t>cm</w:t>
      </w:r>
      <w:r w:rsidR="003575BB" w:rsidRPr="00D94FE8">
        <w:rPr>
          <w:sz w:val="28"/>
          <w:szCs w:val="28"/>
          <w:vertAlign w:val="superscript"/>
        </w:rPr>
        <w:t>2</w:t>
      </w:r>
      <w:r w:rsidR="003575BB">
        <w:rPr>
          <w:sz w:val="28"/>
          <w:szCs w:val="28"/>
        </w:rPr>
        <w:t xml:space="preserve"> g</w:t>
      </w:r>
      <w:r w:rsidR="003575BB" w:rsidRPr="00D94FE8">
        <w:rPr>
          <w:sz w:val="28"/>
          <w:szCs w:val="28"/>
          <w:vertAlign w:val="superscript"/>
        </w:rPr>
        <w:t>-1</w:t>
      </w:r>
      <w:r w:rsidR="003575BB">
        <w:rPr>
          <w:sz w:val="28"/>
          <w:szCs w:val="28"/>
        </w:rPr>
        <w:t xml:space="preserve"> </w:t>
      </w:r>
    </w:p>
    <w:p w14:paraId="6A910BC9" w14:textId="6526BC21" w:rsidR="00735B8B" w:rsidRDefault="00735B8B">
      <w:pPr>
        <w:rPr>
          <w:sz w:val="28"/>
          <w:szCs w:val="28"/>
        </w:rPr>
      </w:pPr>
      <w:r>
        <w:rPr>
          <w:sz w:val="28"/>
          <w:szCs w:val="28"/>
        </w:rPr>
        <w:t>Standard deviation of SLA</w:t>
      </w:r>
    </w:p>
    <w:p w14:paraId="670C7651" w14:textId="7B128691" w:rsidR="008728D0" w:rsidRDefault="008728D0">
      <w:pPr>
        <w:rPr>
          <w:sz w:val="28"/>
          <w:szCs w:val="28"/>
        </w:rPr>
      </w:pPr>
      <w:r>
        <w:rPr>
          <w:sz w:val="28"/>
          <w:szCs w:val="28"/>
        </w:rPr>
        <w:t>Integral mean SL</w:t>
      </w:r>
      <w:r w:rsidR="003575BB">
        <w:rPr>
          <w:sz w:val="28"/>
          <w:szCs w:val="28"/>
        </w:rPr>
        <w:t>A,</w:t>
      </w:r>
      <w:r w:rsidR="003575BB" w:rsidRPr="003575BB">
        <w:rPr>
          <w:sz w:val="28"/>
          <w:szCs w:val="28"/>
        </w:rPr>
        <w:t xml:space="preserve"> </w:t>
      </w:r>
      <w:r w:rsidR="003575BB">
        <w:rPr>
          <w:sz w:val="28"/>
          <w:szCs w:val="28"/>
        </w:rPr>
        <w:t>cm</w:t>
      </w:r>
      <w:r w:rsidR="003575BB" w:rsidRPr="00D94FE8">
        <w:rPr>
          <w:sz w:val="28"/>
          <w:szCs w:val="28"/>
          <w:vertAlign w:val="superscript"/>
        </w:rPr>
        <w:t>2</w:t>
      </w:r>
      <w:r w:rsidR="003575BB">
        <w:rPr>
          <w:sz w:val="28"/>
          <w:szCs w:val="28"/>
        </w:rPr>
        <w:t xml:space="preserve"> g</w:t>
      </w:r>
      <w:r w:rsidR="003575BB" w:rsidRPr="00D94FE8">
        <w:rPr>
          <w:sz w:val="28"/>
          <w:szCs w:val="28"/>
          <w:vertAlign w:val="superscript"/>
        </w:rPr>
        <w:t>-1</w:t>
      </w:r>
    </w:p>
    <w:bookmarkEnd w:id="0"/>
    <w:p w14:paraId="5453CFAD" w14:textId="77777777" w:rsidR="008728D0" w:rsidRDefault="008728D0">
      <w:pPr>
        <w:rPr>
          <w:sz w:val="28"/>
          <w:szCs w:val="28"/>
        </w:rPr>
      </w:pPr>
    </w:p>
    <w:p w14:paraId="4E4384DF" w14:textId="3427C4B3" w:rsidR="00B326D8" w:rsidRPr="00735B8B" w:rsidRDefault="00B326D8">
      <w:pPr>
        <w:rPr>
          <w:sz w:val="28"/>
          <w:szCs w:val="28"/>
          <w:u w:val="single"/>
        </w:rPr>
      </w:pPr>
      <w:r w:rsidRPr="00735B8B">
        <w:rPr>
          <w:sz w:val="28"/>
          <w:szCs w:val="28"/>
          <w:u w:val="single"/>
        </w:rPr>
        <w:t>Some references</w:t>
      </w:r>
    </w:p>
    <w:p w14:paraId="77F88DFD" w14:textId="00F00302" w:rsidR="0008641A" w:rsidRDefault="00D71524">
      <w:pPr>
        <w:rPr>
          <w:sz w:val="28"/>
          <w:szCs w:val="28"/>
        </w:rPr>
      </w:pPr>
      <w:r>
        <w:rPr>
          <w:sz w:val="28"/>
          <w:szCs w:val="28"/>
        </w:rPr>
        <w:t xml:space="preserve">Parker GG, O’Neill JP, </w:t>
      </w:r>
      <w:proofErr w:type="spellStart"/>
      <w:r>
        <w:rPr>
          <w:sz w:val="28"/>
          <w:szCs w:val="28"/>
        </w:rPr>
        <w:t>Higman</w:t>
      </w:r>
      <w:proofErr w:type="spellEnd"/>
      <w:r>
        <w:rPr>
          <w:sz w:val="28"/>
          <w:szCs w:val="28"/>
        </w:rPr>
        <w:t xml:space="preserve"> D. 1989. Vertical Profile and canopy organization in a mixed deciduous forest.  </w:t>
      </w:r>
      <w:proofErr w:type="spellStart"/>
      <w:r>
        <w:rPr>
          <w:sz w:val="28"/>
          <w:szCs w:val="28"/>
        </w:rPr>
        <w:t>Vegetatio</w:t>
      </w:r>
      <w:proofErr w:type="spellEnd"/>
      <w:r>
        <w:rPr>
          <w:sz w:val="28"/>
          <w:szCs w:val="28"/>
        </w:rPr>
        <w:t xml:space="preserve"> 89:1-2.</w:t>
      </w:r>
    </w:p>
    <w:p w14:paraId="2AAFA68C" w14:textId="18C3DC74" w:rsidR="00D71524" w:rsidRDefault="00D71524">
      <w:pPr>
        <w:rPr>
          <w:sz w:val="28"/>
          <w:szCs w:val="28"/>
        </w:rPr>
      </w:pPr>
      <w:r>
        <w:rPr>
          <w:sz w:val="28"/>
          <w:szCs w:val="28"/>
        </w:rPr>
        <w:t xml:space="preserve">Brown MJ, Parker GG. </w:t>
      </w:r>
      <w:r w:rsidR="008903FE">
        <w:rPr>
          <w:sz w:val="28"/>
          <w:szCs w:val="28"/>
        </w:rPr>
        <w:t>199</w:t>
      </w:r>
      <w:r>
        <w:rPr>
          <w:sz w:val="28"/>
          <w:szCs w:val="28"/>
        </w:rPr>
        <w:t xml:space="preserve">4.  Canopy light transmittance in a </w:t>
      </w:r>
      <w:proofErr w:type="spellStart"/>
      <w:r>
        <w:rPr>
          <w:sz w:val="28"/>
          <w:szCs w:val="28"/>
        </w:rPr>
        <w:t>chronosequence</w:t>
      </w:r>
      <w:proofErr w:type="spellEnd"/>
      <w:r>
        <w:rPr>
          <w:sz w:val="28"/>
          <w:szCs w:val="28"/>
        </w:rPr>
        <w:t xml:space="preserve"> of mixed-species forests.  Can</w:t>
      </w:r>
      <w:r w:rsidR="007A5CD3">
        <w:rPr>
          <w:sz w:val="28"/>
          <w:szCs w:val="28"/>
        </w:rPr>
        <w:t>adian</w:t>
      </w:r>
      <w:r>
        <w:rPr>
          <w:sz w:val="28"/>
          <w:szCs w:val="28"/>
        </w:rPr>
        <w:t xml:space="preserve"> J</w:t>
      </w:r>
      <w:r w:rsidR="007A5CD3">
        <w:rPr>
          <w:sz w:val="28"/>
          <w:szCs w:val="28"/>
        </w:rPr>
        <w:t>ournal of</w:t>
      </w:r>
      <w:r>
        <w:rPr>
          <w:sz w:val="28"/>
          <w:szCs w:val="28"/>
        </w:rPr>
        <w:t xml:space="preserve"> For</w:t>
      </w:r>
      <w:r w:rsidR="007A5CD3">
        <w:rPr>
          <w:sz w:val="28"/>
          <w:szCs w:val="28"/>
        </w:rPr>
        <w:t>est</w:t>
      </w:r>
      <w:r>
        <w:rPr>
          <w:sz w:val="28"/>
          <w:szCs w:val="28"/>
        </w:rPr>
        <w:t xml:space="preserve"> </w:t>
      </w:r>
      <w:proofErr w:type="gramStart"/>
      <w:r>
        <w:rPr>
          <w:sz w:val="28"/>
          <w:szCs w:val="28"/>
        </w:rPr>
        <w:t>Res</w:t>
      </w:r>
      <w:r w:rsidR="007A5CD3">
        <w:rPr>
          <w:sz w:val="28"/>
          <w:szCs w:val="28"/>
        </w:rPr>
        <w:t>earch</w:t>
      </w:r>
      <w:r>
        <w:rPr>
          <w:sz w:val="28"/>
          <w:szCs w:val="28"/>
        </w:rPr>
        <w:t xml:space="preserve">  24:1694</w:t>
      </w:r>
      <w:proofErr w:type="gramEnd"/>
      <w:r>
        <w:rPr>
          <w:sz w:val="28"/>
          <w:szCs w:val="28"/>
        </w:rPr>
        <w:t>-1703</w:t>
      </w:r>
    </w:p>
    <w:p w14:paraId="2ACCC84E" w14:textId="09F522E0" w:rsidR="00A13723" w:rsidRPr="00A13723" w:rsidRDefault="00A13723" w:rsidP="00A13723">
      <w:pPr>
        <w:rPr>
          <w:sz w:val="28"/>
          <w:szCs w:val="28"/>
        </w:rPr>
      </w:pPr>
      <w:r w:rsidRPr="00A13723">
        <w:rPr>
          <w:sz w:val="28"/>
          <w:szCs w:val="28"/>
        </w:rPr>
        <w:t>Parker GG</w:t>
      </w:r>
      <w:r>
        <w:rPr>
          <w:sz w:val="28"/>
          <w:szCs w:val="28"/>
        </w:rPr>
        <w:t xml:space="preserve">, </w:t>
      </w:r>
      <w:r w:rsidRPr="00A13723">
        <w:rPr>
          <w:sz w:val="28"/>
          <w:szCs w:val="28"/>
        </w:rPr>
        <w:t xml:space="preserve">Tibbs </w:t>
      </w:r>
      <w:r>
        <w:rPr>
          <w:sz w:val="28"/>
          <w:szCs w:val="28"/>
        </w:rPr>
        <w:t>D</w:t>
      </w:r>
      <w:r w:rsidRPr="00A13723">
        <w:rPr>
          <w:sz w:val="28"/>
          <w:szCs w:val="28"/>
        </w:rPr>
        <w:t xml:space="preserve">J. 2004. Structural phenology of the leaf community in the canopy of a Liriodendron </w:t>
      </w:r>
      <w:proofErr w:type="spellStart"/>
      <w:r w:rsidRPr="00A13723">
        <w:rPr>
          <w:sz w:val="28"/>
          <w:szCs w:val="28"/>
        </w:rPr>
        <w:t>tulipifera</w:t>
      </w:r>
      <w:proofErr w:type="spellEnd"/>
      <w:r w:rsidRPr="00A13723">
        <w:rPr>
          <w:sz w:val="28"/>
          <w:szCs w:val="28"/>
        </w:rPr>
        <w:t xml:space="preserve"> L. forest in Maryland, USA. </w:t>
      </w:r>
      <w:r w:rsidR="007A5CD3">
        <w:rPr>
          <w:sz w:val="28"/>
          <w:szCs w:val="28"/>
        </w:rPr>
        <w:t xml:space="preserve"> </w:t>
      </w:r>
      <w:r w:rsidRPr="00A13723">
        <w:rPr>
          <w:sz w:val="28"/>
          <w:szCs w:val="28"/>
        </w:rPr>
        <w:t>Forest Science. 50:387–397.</w:t>
      </w:r>
      <w:r w:rsidRPr="00A13723">
        <w:t xml:space="preserve"> </w:t>
      </w:r>
      <w:r w:rsidR="003575BB">
        <w:t xml:space="preserve"> </w:t>
      </w:r>
    </w:p>
    <w:p w14:paraId="3B448DAB" w14:textId="18E4AF98" w:rsidR="00735B8B" w:rsidRDefault="00A13723" w:rsidP="00A13723">
      <w:pPr>
        <w:rPr>
          <w:sz w:val="28"/>
          <w:szCs w:val="28"/>
        </w:rPr>
      </w:pPr>
      <w:r w:rsidRPr="00A13723">
        <w:rPr>
          <w:sz w:val="28"/>
          <w:szCs w:val="28"/>
        </w:rPr>
        <w:t>McMahon SM</w:t>
      </w:r>
      <w:r w:rsidR="00B326D8">
        <w:rPr>
          <w:sz w:val="28"/>
          <w:szCs w:val="28"/>
        </w:rPr>
        <w:t xml:space="preserve">, </w:t>
      </w:r>
      <w:r w:rsidRPr="00A13723">
        <w:rPr>
          <w:sz w:val="28"/>
          <w:szCs w:val="28"/>
        </w:rPr>
        <w:t>Parker</w:t>
      </w:r>
      <w:r w:rsidR="00B326D8">
        <w:rPr>
          <w:sz w:val="28"/>
          <w:szCs w:val="28"/>
        </w:rPr>
        <w:t xml:space="preserve"> </w:t>
      </w:r>
      <w:r w:rsidRPr="00A13723">
        <w:rPr>
          <w:sz w:val="28"/>
          <w:szCs w:val="28"/>
        </w:rPr>
        <w:t>GG</w:t>
      </w:r>
      <w:r w:rsidR="00B326D8">
        <w:rPr>
          <w:sz w:val="28"/>
          <w:szCs w:val="28"/>
        </w:rPr>
        <w:t xml:space="preserve">, </w:t>
      </w:r>
      <w:r w:rsidRPr="00A13723">
        <w:rPr>
          <w:sz w:val="28"/>
          <w:szCs w:val="28"/>
        </w:rPr>
        <w:t>Miller DR.</w:t>
      </w:r>
      <w:r w:rsidR="00B326D8">
        <w:rPr>
          <w:sz w:val="28"/>
          <w:szCs w:val="28"/>
        </w:rPr>
        <w:t xml:space="preserve">  2010.  </w:t>
      </w:r>
      <w:r w:rsidR="00B326D8" w:rsidRPr="00B326D8">
        <w:rPr>
          <w:sz w:val="28"/>
          <w:szCs w:val="28"/>
        </w:rPr>
        <w:t>Evidence for a recent increase in forest growth</w:t>
      </w:r>
      <w:r w:rsidR="00B326D8">
        <w:rPr>
          <w:sz w:val="28"/>
          <w:szCs w:val="28"/>
        </w:rPr>
        <w:t xml:space="preserve">.  </w:t>
      </w:r>
      <w:r w:rsidR="00B326D8" w:rsidRPr="00B326D8">
        <w:rPr>
          <w:sz w:val="28"/>
          <w:szCs w:val="28"/>
        </w:rPr>
        <w:t>Proceedings of the National Academy of Sciences of the United States of America. 107:3611–3615.</w:t>
      </w:r>
      <w:r w:rsidR="00B326D8">
        <w:rPr>
          <w:sz w:val="28"/>
          <w:szCs w:val="28"/>
        </w:rPr>
        <w:t xml:space="preserve">  D</w:t>
      </w:r>
      <w:r w:rsidRPr="00A13723">
        <w:rPr>
          <w:sz w:val="28"/>
          <w:szCs w:val="28"/>
        </w:rPr>
        <w:t>OI:</w:t>
      </w:r>
      <w:r w:rsidR="00B326D8">
        <w:rPr>
          <w:sz w:val="28"/>
          <w:szCs w:val="28"/>
        </w:rPr>
        <w:t xml:space="preserve"> </w:t>
      </w:r>
      <w:hyperlink r:id="rId4" w:history="1">
        <w:r w:rsidR="00735B8B" w:rsidRPr="00FB0732">
          <w:rPr>
            <w:rStyle w:val="Hyperlink"/>
            <w:sz w:val="28"/>
            <w:szCs w:val="28"/>
          </w:rPr>
          <w:t>https://doi.org/10.1073/pnas.0912376107</w:t>
        </w:r>
      </w:hyperlink>
    </w:p>
    <w:p w14:paraId="6B16D8AE" w14:textId="2B59A471" w:rsidR="00735B8B" w:rsidRDefault="00735B8B" w:rsidP="00735B8B">
      <w:pPr>
        <w:rPr>
          <w:sz w:val="28"/>
          <w:szCs w:val="28"/>
        </w:rPr>
      </w:pPr>
      <w:r w:rsidRPr="00735B8B">
        <w:rPr>
          <w:sz w:val="28"/>
          <w:szCs w:val="28"/>
        </w:rPr>
        <w:lastRenderedPageBreak/>
        <w:t>Coble</w:t>
      </w:r>
      <w:r>
        <w:rPr>
          <w:sz w:val="28"/>
          <w:szCs w:val="28"/>
        </w:rPr>
        <w:t xml:space="preserve"> AP</w:t>
      </w:r>
      <w:r w:rsidRPr="00735B8B">
        <w:rPr>
          <w:sz w:val="28"/>
          <w:szCs w:val="28"/>
        </w:rPr>
        <w:t>, Fogel</w:t>
      </w:r>
      <w:r>
        <w:rPr>
          <w:sz w:val="28"/>
          <w:szCs w:val="28"/>
        </w:rPr>
        <w:t xml:space="preserve"> </w:t>
      </w:r>
      <w:r w:rsidRPr="00735B8B">
        <w:rPr>
          <w:sz w:val="28"/>
          <w:szCs w:val="28"/>
        </w:rPr>
        <w:t>ML, Parker</w:t>
      </w:r>
      <w:r>
        <w:rPr>
          <w:sz w:val="28"/>
          <w:szCs w:val="28"/>
        </w:rPr>
        <w:t xml:space="preserve"> </w:t>
      </w:r>
      <w:r w:rsidRPr="00735B8B">
        <w:rPr>
          <w:sz w:val="28"/>
          <w:szCs w:val="28"/>
        </w:rPr>
        <w:t>GG</w:t>
      </w:r>
      <w:r>
        <w:rPr>
          <w:sz w:val="28"/>
          <w:szCs w:val="28"/>
        </w:rPr>
        <w:t xml:space="preserve">. 2017. </w:t>
      </w:r>
      <w:r w:rsidRPr="00735B8B">
        <w:rPr>
          <w:sz w:val="28"/>
          <w:szCs w:val="28"/>
        </w:rPr>
        <w:t>Canopy gradients in leaf functional traits for species that differ in growth strategies and shade tolerance</w:t>
      </w:r>
      <w:r>
        <w:rPr>
          <w:sz w:val="28"/>
          <w:szCs w:val="28"/>
        </w:rPr>
        <w:t xml:space="preserve">. </w:t>
      </w:r>
      <w:r w:rsidRPr="00735B8B">
        <w:rPr>
          <w:sz w:val="28"/>
          <w:szCs w:val="28"/>
        </w:rPr>
        <w:t>Tree Physiology 37</w:t>
      </w:r>
      <w:r>
        <w:rPr>
          <w:sz w:val="28"/>
          <w:szCs w:val="28"/>
        </w:rPr>
        <w:t>:</w:t>
      </w:r>
      <w:r w:rsidRPr="00735B8B">
        <w:rPr>
          <w:sz w:val="28"/>
          <w:szCs w:val="28"/>
        </w:rPr>
        <w:t>1415–1425, https://doi.org/10.1093/treephys/tpx048</w:t>
      </w:r>
    </w:p>
    <w:p w14:paraId="027BB677" w14:textId="77777777" w:rsidR="00D71524" w:rsidRPr="0008641A" w:rsidRDefault="00D71524">
      <w:pPr>
        <w:rPr>
          <w:sz w:val="28"/>
          <w:szCs w:val="28"/>
        </w:rPr>
      </w:pPr>
    </w:p>
    <w:sectPr w:rsidR="00D71524" w:rsidRPr="00086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CA"/>
    <w:rsid w:val="0008641A"/>
    <w:rsid w:val="000D08ED"/>
    <w:rsid w:val="001A7A2E"/>
    <w:rsid w:val="001D7AC4"/>
    <w:rsid w:val="003575BB"/>
    <w:rsid w:val="00397F6E"/>
    <w:rsid w:val="00735B8B"/>
    <w:rsid w:val="007A5CD3"/>
    <w:rsid w:val="008728D0"/>
    <w:rsid w:val="008903FE"/>
    <w:rsid w:val="00997B69"/>
    <w:rsid w:val="00A13723"/>
    <w:rsid w:val="00A446CA"/>
    <w:rsid w:val="00B326D8"/>
    <w:rsid w:val="00D71524"/>
    <w:rsid w:val="00D94FE8"/>
    <w:rsid w:val="00F32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833BF"/>
  <w15:chartTrackingRefBased/>
  <w15:docId w15:val="{86F602FF-5C04-409A-99A4-B2B8246CC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B8B"/>
    <w:rPr>
      <w:color w:val="0563C1" w:themeColor="hyperlink"/>
      <w:u w:val="single"/>
    </w:rPr>
  </w:style>
  <w:style w:type="character" w:styleId="UnresolvedMention">
    <w:name w:val="Unresolved Mention"/>
    <w:basedOn w:val="DefaultParagraphFont"/>
    <w:uiPriority w:val="99"/>
    <w:semiHidden/>
    <w:unhideWhenUsed/>
    <w:rsid w:val="00735B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759007">
      <w:bodyDiv w:val="1"/>
      <w:marLeft w:val="0"/>
      <w:marRight w:val="0"/>
      <w:marTop w:val="0"/>
      <w:marBottom w:val="0"/>
      <w:divBdr>
        <w:top w:val="none" w:sz="0" w:space="0" w:color="auto"/>
        <w:left w:val="none" w:sz="0" w:space="0" w:color="auto"/>
        <w:bottom w:val="none" w:sz="0" w:space="0" w:color="auto"/>
        <w:right w:val="none" w:sz="0" w:space="0" w:color="auto"/>
      </w:divBdr>
    </w:div>
    <w:div w:id="1307197259">
      <w:bodyDiv w:val="1"/>
      <w:marLeft w:val="0"/>
      <w:marRight w:val="0"/>
      <w:marTop w:val="0"/>
      <w:marBottom w:val="0"/>
      <w:divBdr>
        <w:top w:val="none" w:sz="0" w:space="0" w:color="auto"/>
        <w:left w:val="none" w:sz="0" w:space="0" w:color="auto"/>
        <w:bottom w:val="none" w:sz="0" w:space="0" w:color="auto"/>
        <w:right w:val="none" w:sz="0" w:space="0" w:color="auto"/>
      </w:divBdr>
      <w:divsChild>
        <w:div w:id="1432748247">
          <w:marLeft w:val="0"/>
          <w:marRight w:val="0"/>
          <w:marTop w:val="0"/>
          <w:marBottom w:val="0"/>
          <w:divBdr>
            <w:top w:val="none" w:sz="0" w:space="0" w:color="auto"/>
            <w:left w:val="none" w:sz="0" w:space="0" w:color="auto"/>
            <w:bottom w:val="none" w:sz="0" w:space="0" w:color="auto"/>
            <w:right w:val="none" w:sz="0" w:space="0" w:color="auto"/>
          </w:divBdr>
          <w:divsChild>
            <w:div w:id="1157771763">
              <w:marLeft w:val="0"/>
              <w:marRight w:val="0"/>
              <w:marTop w:val="0"/>
              <w:marBottom w:val="165"/>
              <w:divBdr>
                <w:top w:val="none" w:sz="0" w:space="0" w:color="auto"/>
                <w:left w:val="none" w:sz="0" w:space="0" w:color="auto"/>
                <w:bottom w:val="none" w:sz="0" w:space="0" w:color="auto"/>
                <w:right w:val="none" w:sz="0" w:space="0" w:color="auto"/>
              </w:divBdr>
            </w:div>
          </w:divsChild>
        </w:div>
        <w:div w:id="1639913052">
          <w:marLeft w:val="0"/>
          <w:marRight w:val="0"/>
          <w:marTop w:val="165"/>
          <w:marBottom w:val="165"/>
          <w:divBdr>
            <w:top w:val="none" w:sz="0" w:space="0" w:color="auto"/>
            <w:left w:val="none" w:sz="0" w:space="0" w:color="auto"/>
            <w:bottom w:val="none" w:sz="0" w:space="0" w:color="auto"/>
            <w:right w:val="none" w:sz="0" w:space="0" w:color="auto"/>
          </w:divBdr>
          <w:divsChild>
            <w:div w:id="1009870604">
              <w:marLeft w:val="0"/>
              <w:marRight w:val="0"/>
              <w:marTop w:val="0"/>
              <w:marBottom w:val="0"/>
              <w:divBdr>
                <w:top w:val="none" w:sz="0" w:space="0" w:color="auto"/>
                <w:left w:val="none" w:sz="0" w:space="0" w:color="auto"/>
                <w:bottom w:val="none" w:sz="0" w:space="0" w:color="auto"/>
                <w:right w:val="none" w:sz="0" w:space="0" w:color="auto"/>
              </w:divBdr>
              <w:divsChild>
                <w:div w:id="118150493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455636206">
      <w:bodyDiv w:val="1"/>
      <w:marLeft w:val="0"/>
      <w:marRight w:val="0"/>
      <w:marTop w:val="0"/>
      <w:marBottom w:val="0"/>
      <w:divBdr>
        <w:top w:val="none" w:sz="0" w:space="0" w:color="auto"/>
        <w:left w:val="none" w:sz="0" w:space="0" w:color="auto"/>
        <w:bottom w:val="none" w:sz="0" w:space="0" w:color="auto"/>
        <w:right w:val="none" w:sz="0" w:space="0" w:color="auto"/>
      </w:divBdr>
      <w:divsChild>
        <w:div w:id="1693915510">
          <w:marLeft w:val="0"/>
          <w:marRight w:val="0"/>
          <w:marTop w:val="0"/>
          <w:marBottom w:val="300"/>
          <w:divBdr>
            <w:top w:val="none" w:sz="0" w:space="0" w:color="auto"/>
            <w:left w:val="none" w:sz="0" w:space="0" w:color="auto"/>
            <w:bottom w:val="single" w:sz="6" w:space="2" w:color="D8E8EB"/>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73/pnas.0912376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Geoffrey</dc:creator>
  <cp:keywords/>
  <dc:description/>
  <cp:lastModifiedBy>Parker, Geoffrey</cp:lastModifiedBy>
  <cp:revision>14</cp:revision>
  <dcterms:created xsi:type="dcterms:W3CDTF">2021-04-22T16:51:00Z</dcterms:created>
  <dcterms:modified xsi:type="dcterms:W3CDTF">2021-11-13T16:16:00Z</dcterms:modified>
</cp:coreProperties>
</file>